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DA9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7B4D1CAE" w14:textId="52D98D36" w:rsidR="00ED33E1" w:rsidRPr="00434FBB" w:rsidRDefault="00ED33E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4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марта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9751BF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425FC6" w14:textId="3CDE37E5" w:rsidR="00190A4A" w:rsidRPr="00710B73" w:rsidRDefault="00190A4A" w:rsidP="00190A4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планом работы Антитеррористической комиссии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ТиНАО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Москвы 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2022 год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первое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заседание.</w:t>
      </w:r>
    </w:p>
    <w:p w14:paraId="5EE2CDB7" w14:textId="34130F8E" w:rsidR="00FB0820" w:rsidRPr="009D7280" w:rsidRDefault="00AB6549" w:rsidP="00190A4A">
      <w:pPr>
        <w:pStyle w:val="a9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  <w:lang w:bidi="ru-RU"/>
        </w:rPr>
      </w:pPr>
      <w:r w:rsidRPr="009D7280">
        <w:rPr>
          <w:color w:val="000000"/>
          <w:sz w:val="28"/>
          <w:szCs w:val="28"/>
        </w:rPr>
        <w:t xml:space="preserve">На заседании </w:t>
      </w:r>
      <w:r w:rsidR="00190A4A">
        <w:rPr>
          <w:color w:val="000000"/>
          <w:sz w:val="28"/>
          <w:szCs w:val="28"/>
        </w:rPr>
        <w:t>К</w:t>
      </w:r>
      <w:r w:rsidRPr="009D7280">
        <w:rPr>
          <w:color w:val="000000"/>
          <w:sz w:val="28"/>
          <w:szCs w:val="28"/>
        </w:rPr>
        <w:t xml:space="preserve">омиссии под председательством префекта Дмитрия </w:t>
      </w:r>
      <w:proofErr w:type="spellStart"/>
      <w:r w:rsidRPr="009D7280">
        <w:rPr>
          <w:color w:val="000000"/>
          <w:sz w:val="28"/>
          <w:szCs w:val="28"/>
        </w:rPr>
        <w:t>Набокина</w:t>
      </w:r>
      <w:proofErr w:type="spellEnd"/>
      <w:r w:rsidRPr="009D7280">
        <w:rPr>
          <w:color w:val="000000"/>
          <w:sz w:val="28"/>
          <w:szCs w:val="28"/>
        </w:rPr>
        <w:t xml:space="preserve"> рассмотрен </w:t>
      </w:r>
      <w:r w:rsidR="00FB0820" w:rsidRPr="009D7280">
        <w:rPr>
          <w:color w:val="000000" w:themeColor="text1"/>
          <w:sz w:val="28"/>
          <w:szCs w:val="28"/>
          <w:shd w:val="clear" w:color="auto" w:fill="FFFFFF"/>
        </w:rPr>
        <w:t xml:space="preserve">вопрос о </w:t>
      </w:r>
      <w:r w:rsidR="00FB0820" w:rsidRPr="009D7280">
        <w:rPr>
          <w:bCs/>
          <w:sz w:val="28"/>
          <w:szCs w:val="28"/>
        </w:rPr>
        <w:t>мерах по повышению уровня готовности образовательных учреждений к действиям при возникновении угрозы совершения преступлений террористической направленности и выработки общих подходов к обеспечению их безопасности и антитеррористической защищенности.</w:t>
      </w:r>
      <w:r w:rsidR="00720C16" w:rsidRPr="009D7280">
        <w:rPr>
          <w:bCs/>
          <w:sz w:val="28"/>
          <w:szCs w:val="28"/>
        </w:rPr>
        <w:t xml:space="preserve"> Пр</w:t>
      </w:r>
      <w:r w:rsidR="00FB0820" w:rsidRPr="009D7280">
        <w:rPr>
          <w:color w:val="000000" w:themeColor="text1"/>
          <w:sz w:val="28"/>
          <w:szCs w:val="28"/>
          <w:shd w:val="clear" w:color="auto" w:fill="FFFFFF"/>
        </w:rPr>
        <w:t>инят</w:t>
      </w:r>
      <w:r w:rsidR="00EC65AA" w:rsidRPr="009D7280">
        <w:rPr>
          <w:color w:val="000000" w:themeColor="text1"/>
          <w:sz w:val="28"/>
          <w:szCs w:val="28"/>
          <w:shd w:val="clear" w:color="auto" w:fill="FFFFFF"/>
        </w:rPr>
        <w:t>о</w:t>
      </w:r>
      <w:r w:rsidR="00FB0820" w:rsidRPr="009D7280">
        <w:rPr>
          <w:color w:val="000000" w:themeColor="text1"/>
          <w:sz w:val="28"/>
          <w:szCs w:val="28"/>
          <w:shd w:val="clear" w:color="auto" w:fill="FFFFFF"/>
        </w:rPr>
        <w:t xml:space="preserve"> решени</w:t>
      </w:r>
      <w:r w:rsidR="00EC65AA" w:rsidRPr="009D7280">
        <w:rPr>
          <w:color w:val="000000" w:themeColor="text1"/>
          <w:sz w:val="28"/>
          <w:szCs w:val="28"/>
          <w:shd w:val="clear" w:color="auto" w:fill="FFFFFF"/>
        </w:rPr>
        <w:t>е</w:t>
      </w:r>
      <w:r w:rsidR="00FB0820" w:rsidRPr="009D7280"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 w:rsidR="00FB0820" w:rsidRPr="009D7280">
        <w:rPr>
          <w:bCs/>
          <w:sz w:val="28"/>
          <w:szCs w:val="28"/>
        </w:rPr>
        <w:t>рганизовать проверку работоспособности инженерно-технических средств охраны образовательных учреждений, в том числе средств тревожной и пожарной сигнализации, о</w:t>
      </w:r>
      <w:r w:rsidR="00FB0820" w:rsidRPr="009D7280">
        <w:rPr>
          <w:bCs/>
          <w:sz w:val="28"/>
          <w:szCs w:val="28"/>
          <w:lang w:bidi="ru-RU"/>
        </w:rPr>
        <w:t>беспечить проведение дополнительных инструктажей с персоналом образовательных организаций, сотрудниками частных охранных организаций.</w:t>
      </w:r>
    </w:p>
    <w:p w14:paraId="24222E75" w14:textId="5A487960" w:rsidR="00DB5368" w:rsidRPr="009D7280" w:rsidRDefault="00ED77A7" w:rsidP="00DB5368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</w:t>
      </w:r>
      <w:r w:rsidR="00EC65AA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рассмотрени</w:t>
      </w:r>
      <w:r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EC65AA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вопроса о </w:t>
      </w:r>
      <w:r w:rsidR="00AB6549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принимаемы</w:t>
      </w:r>
      <w:r w:rsidR="00EC65AA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AB6549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</w:t>
      </w:r>
      <w:r w:rsidR="00EC65AA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AB6549" w:rsidRPr="009D72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EC65AA" w:rsidRPr="009D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предупреждению совершения преступлений террористического характера лицами, прибывающими из стран </w:t>
      </w:r>
      <w:proofErr w:type="gramStart"/>
      <w:r w:rsidR="00EC65AA" w:rsidRPr="009D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Центрально</w:t>
      </w:r>
      <w:proofErr w:type="gramEnd"/>
      <w:r w:rsidR="00EC65AA" w:rsidRPr="009D7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EC65AA" w:rsidRPr="009D7280">
        <w:rPr>
          <w:rFonts w:ascii="Times New Roman" w:hAnsi="Times New Roman" w:cs="Times New Roman"/>
          <w:bCs/>
          <w:sz w:val="28"/>
          <w:szCs w:val="28"/>
        </w:rPr>
        <w:t xml:space="preserve"> азиатского региона</w:t>
      </w:r>
      <w:r w:rsidR="006327DF" w:rsidRPr="009D7280">
        <w:rPr>
          <w:rFonts w:ascii="Times New Roman" w:hAnsi="Times New Roman" w:cs="Times New Roman"/>
          <w:bCs/>
          <w:sz w:val="28"/>
          <w:szCs w:val="28"/>
        </w:rPr>
        <w:t>,</w:t>
      </w:r>
      <w:r w:rsidR="00EC65AA" w:rsidRPr="009D7280">
        <w:rPr>
          <w:rFonts w:ascii="Times New Roman" w:hAnsi="Times New Roman" w:cs="Times New Roman"/>
          <w:bCs/>
          <w:sz w:val="28"/>
          <w:szCs w:val="28"/>
        </w:rPr>
        <w:t xml:space="preserve"> заслушаны </w:t>
      </w:r>
      <w:r w:rsidR="00AB6549" w:rsidRPr="009D728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представители </w:t>
      </w:r>
      <w:r w:rsidR="00523CDC" w:rsidRPr="009D7280">
        <w:rPr>
          <w:rFonts w:ascii="Times New Roman" w:hAnsi="Times New Roman" w:cs="Times New Roman"/>
          <w:sz w:val="28"/>
          <w:szCs w:val="28"/>
        </w:rPr>
        <w:t xml:space="preserve">ГУ МВД России по г. Москве, УВД по ТиНАО ГУ МВД России по г. Москве, Отдела по вопросам миграции УВД по ТиНАО ГУ МВД России по г. Москве, </w:t>
      </w:r>
      <w:r w:rsidR="00AB6549" w:rsidRPr="009D7280">
        <w:rPr>
          <w:rFonts w:ascii="Times New Roman" w:hAnsi="Times New Roman" w:cs="Times New Roman"/>
          <w:sz w:val="28"/>
          <w:szCs w:val="28"/>
        </w:rPr>
        <w:t>Отдела национальной политики Департамента национальной политики и межрегиональных связей г. Москвы</w:t>
      </w:r>
      <w:r w:rsidR="00523CDC" w:rsidRPr="009D7280">
        <w:rPr>
          <w:rFonts w:ascii="Times New Roman" w:hAnsi="Times New Roman" w:cs="Times New Roman"/>
          <w:sz w:val="28"/>
          <w:szCs w:val="28"/>
        </w:rPr>
        <w:t>.</w:t>
      </w:r>
      <w:r w:rsidRPr="009D7280">
        <w:rPr>
          <w:rFonts w:ascii="Times New Roman" w:hAnsi="Times New Roman" w:cs="Times New Roman"/>
          <w:sz w:val="28"/>
          <w:szCs w:val="28"/>
        </w:rPr>
        <w:t xml:space="preserve"> В целях соблюдения требований российского миграционного законодательства и ответственности за его нарушения активизировано проведение </w:t>
      </w:r>
      <w:r w:rsidRPr="009D728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информационно-пропагандистских мероприятий </w:t>
      </w:r>
      <w:r w:rsidRPr="009D7280">
        <w:rPr>
          <w:rFonts w:ascii="Times New Roman" w:hAnsi="Times New Roman" w:cs="Times New Roman"/>
          <w:sz w:val="28"/>
          <w:szCs w:val="28"/>
        </w:rPr>
        <w:t xml:space="preserve">с руководителями национальных объединений, мигрантами и их работодателями. </w:t>
      </w:r>
      <w:r w:rsidR="00DB5368" w:rsidRPr="009D7280">
        <w:rPr>
          <w:rFonts w:ascii="Times New Roman" w:hAnsi="Times New Roman" w:cs="Times New Roman"/>
          <w:sz w:val="28"/>
          <w:szCs w:val="28"/>
        </w:rPr>
        <w:t>Также, работодатели, использующие труд мигрантов, привлечены к участию в мероприятиях по их социальной и культурной адаптации.</w:t>
      </w:r>
    </w:p>
    <w:p w14:paraId="151BCD32" w14:textId="148EA494" w:rsidR="00720C16" w:rsidRPr="009D7280" w:rsidRDefault="00DB5368" w:rsidP="00720C16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sz w:val="28"/>
          <w:szCs w:val="28"/>
          <w:lang w:eastAsia="ru-RU" w:bidi="ru-RU"/>
        </w:rPr>
      </w:pPr>
      <w:r w:rsidRPr="009D7280">
        <w:rPr>
          <w:sz w:val="28"/>
          <w:szCs w:val="28"/>
        </w:rPr>
        <w:t xml:space="preserve">Организован </w:t>
      </w:r>
      <w:r w:rsidRPr="009D7280">
        <w:rPr>
          <w:sz w:val="28"/>
          <w:szCs w:val="28"/>
          <w:lang w:eastAsia="ru-RU" w:bidi="ru-RU"/>
        </w:rPr>
        <w:t>мониторинг состояния межнациональных (межэтнических) отношений. Ведется постоянный контроль за возникновением возможных очагов социальной напряженности и протестной активности в целях недопущения на территории ТиНАО города Москвы межнациональных и межконфессиональных конфликтов</w:t>
      </w:r>
      <w:r w:rsidR="00720C16" w:rsidRPr="009D7280">
        <w:rPr>
          <w:sz w:val="28"/>
          <w:szCs w:val="28"/>
          <w:lang w:eastAsia="ru-RU" w:bidi="ru-RU"/>
        </w:rPr>
        <w:t>.</w:t>
      </w:r>
    </w:p>
    <w:p w14:paraId="0CBA2745" w14:textId="61E7FE7D" w:rsidR="00720C16" w:rsidRPr="009D7280" w:rsidRDefault="00720C16" w:rsidP="00720C16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sz w:val="28"/>
          <w:szCs w:val="28"/>
        </w:rPr>
      </w:pPr>
      <w:r w:rsidRPr="009D7280">
        <w:rPr>
          <w:sz w:val="28"/>
          <w:szCs w:val="28"/>
        </w:rPr>
        <w:t>Также, Комиссией рассмотрен вопрос о результатах выполнения мероприятий по обеспечению антитеррористической защищенности социально значимых объектов. Отдельное внимание уделено частным медицинским организациям</w:t>
      </w:r>
      <w:r w:rsidR="000D12C0" w:rsidRPr="009D7280">
        <w:rPr>
          <w:sz w:val="28"/>
          <w:szCs w:val="28"/>
        </w:rPr>
        <w:t>, не исполняющим требования по антитеррористической защищенности. Организовано взаимодействие с представителями частных медицинских организаций, в том числе для оказания методической помощи по организации мероприятий по категорированию и паспортизации объектов. До руководителей объектов доведена информация</w:t>
      </w:r>
      <w:r w:rsidR="006327DF" w:rsidRPr="009D7280">
        <w:rPr>
          <w:sz w:val="28"/>
          <w:szCs w:val="28"/>
        </w:rPr>
        <w:t xml:space="preserve"> о привлечении правообладателей к административной ответственности по ст. 20.35 КоАП РФ </w:t>
      </w:r>
      <w:r w:rsidR="000D12C0" w:rsidRPr="009D7280">
        <w:rPr>
          <w:sz w:val="28"/>
          <w:szCs w:val="28"/>
        </w:rPr>
        <w:t xml:space="preserve">в случае </w:t>
      </w:r>
      <w:r w:rsidR="006327DF" w:rsidRPr="009D7280">
        <w:rPr>
          <w:sz w:val="28"/>
          <w:szCs w:val="28"/>
        </w:rPr>
        <w:t>неисполнении требований по антитеррористической защищенности</w:t>
      </w:r>
      <w:r w:rsidR="00595888" w:rsidRPr="009D7280">
        <w:rPr>
          <w:sz w:val="28"/>
          <w:szCs w:val="28"/>
        </w:rPr>
        <w:t xml:space="preserve"> объектов</w:t>
      </w:r>
      <w:r w:rsidR="006327DF" w:rsidRPr="009D7280">
        <w:rPr>
          <w:sz w:val="28"/>
          <w:szCs w:val="28"/>
        </w:rPr>
        <w:t xml:space="preserve">. </w:t>
      </w:r>
    </w:p>
    <w:p w14:paraId="2299D80B" w14:textId="4AE07AEF" w:rsidR="009249E1" w:rsidRPr="009D7280" w:rsidRDefault="00190A4A" w:rsidP="006D0595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9D7280">
        <w:rPr>
          <w:sz w:val="28"/>
          <w:szCs w:val="28"/>
        </w:rPr>
        <w:t xml:space="preserve"> докладами об эффективности реализации мероприятий Комплексного плана противодействия идеологии терроризма </w:t>
      </w:r>
      <w:r>
        <w:rPr>
          <w:sz w:val="28"/>
          <w:szCs w:val="28"/>
        </w:rPr>
        <w:t>выступили</w:t>
      </w:r>
      <w:r w:rsidR="006D0595" w:rsidRPr="009D7280">
        <w:rPr>
          <w:sz w:val="28"/>
          <w:szCs w:val="28"/>
        </w:rPr>
        <w:t xml:space="preserve"> представители администраций поселений Внуковское, Кокошкино, Марушкинское, Сосенское, Воскресенское. </w:t>
      </w:r>
      <w:r w:rsidR="009249E1" w:rsidRPr="009D7280">
        <w:rPr>
          <w:sz w:val="28"/>
          <w:szCs w:val="28"/>
        </w:rPr>
        <w:t xml:space="preserve"> </w:t>
      </w:r>
    </w:p>
    <w:p w14:paraId="557BA8A0" w14:textId="0D24814C" w:rsidR="006D0595" w:rsidRPr="009D7280" w:rsidRDefault="006D0595" w:rsidP="006D0595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rFonts w:eastAsia="Times New Roman"/>
          <w:sz w:val="28"/>
          <w:szCs w:val="28"/>
        </w:rPr>
      </w:pPr>
      <w:r w:rsidRPr="009D7280">
        <w:rPr>
          <w:sz w:val="28"/>
          <w:szCs w:val="28"/>
        </w:rPr>
        <w:t xml:space="preserve">Принято решение об организации </w:t>
      </w:r>
      <w:r w:rsidRPr="006D0595">
        <w:rPr>
          <w:sz w:val="28"/>
          <w:szCs w:val="28"/>
        </w:rPr>
        <w:t>заслушивани</w:t>
      </w:r>
      <w:r w:rsidRPr="009D7280">
        <w:rPr>
          <w:sz w:val="28"/>
          <w:szCs w:val="28"/>
        </w:rPr>
        <w:t>я</w:t>
      </w:r>
      <w:r w:rsidRPr="006D0595">
        <w:rPr>
          <w:sz w:val="28"/>
          <w:szCs w:val="28"/>
        </w:rPr>
        <w:t xml:space="preserve"> на заседаниях постоянно действующих рабочих групп муниципальных образований по вопросам профилактики терроризма, минимизации и (или) ликвидации последствий его проявлений представителей объектов культуры, спорта, образования, представителей общественных организаций, осуществляющих деятельность на территори</w:t>
      </w:r>
      <w:r w:rsidR="00E36DEB">
        <w:rPr>
          <w:sz w:val="28"/>
          <w:szCs w:val="28"/>
        </w:rPr>
        <w:t>и городских округов и поселений</w:t>
      </w:r>
      <w:r w:rsidRPr="006D0595">
        <w:rPr>
          <w:sz w:val="28"/>
          <w:szCs w:val="28"/>
        </w:rPr>
        <w:t>.</w:t>
      </w:r>
      <w:r w:rsidRPr="009D7280">
        <w:rPr>
          <w:sz w:val="28"/>
          <w:szCs w:val="28"/>
        </w:rPr>
        <w:t xml:space="preserve"> Обеспече</w:t>
      </w:r>
      <w:r w:rsidR="00EA4962" w:rsidRPr="009D7280">
        <w:rPr>
          <w:sz w:val="28"/>
          <w:szCs w:val="28"/>
        </w:rPr>
        <w:t>но</w:t>
      </w:r>
      <w:r w:rsidRPr="009D7280">
        <w:rPr>
          <w:sz w:val="28"/>
          <w:szCs w:val="28"/>
        </w:rPr>
        <w:t xml:space="preserve"> </w:t>
      </w:r>
      <w:r w:rsidRPr="006D0595">
        <w:rPr>
          <w:rFonts w:eastAsia="Times New Roman"/>
          <w:sz w:val="28"/>
          <w:szCs w:val="28"/>
        </w:rPr>
        <w:t>информационно</w:t>
      </w:r>
      <w:r w:rsidR="00EA4962" w:rsidRPr="009D7280">
        <w:rPr>
          <w:rFonts w:eastAsia="Times New Roman"/>
          <w:sz w:val="28"/>
          <w:szCs w:val="28"/>
        </w:rPr>
        <w:t>е</w:t>
      </w:r>
      <w:r w:rsidRPr="006D0595">
        <w:rPr>
          <w:rFonts w:eastAsia="Times New Roman"/>
          <w:sz w:val="28"/>
          <w:szCs w:val="28"/>
        </w:rPr>
        <w:t xml:space="preserve"> сопровождени</w:t>
      </w:r>
      <w:r w:rsidR="00EA4962" w:rsidRPr="009D7280">
        <w:rPr>
          <w:rFonts w:eastAsia="Times New Roman"/>
          <w:sz w:val="28"/>
          <w:szCs w:val="28"/>
        </w:rPr>
        <w:t>е</w:t>
      </w:r>
      <w:r w:rsidRPr="006D0595">
        <w:rPr>
          <w:rFonts w:eastAsia="Times New Roman"/>
          <w:sz w:val="28"/>
          <w:szCs w:val="28"/>
        </w:rPr>
        <w:t xml:space="preserve"> проводимых</w:t>
      </w:r>
      <w:r w:rsidR="00E36DEB">
        <w:rPr>
          <w:rFonts w:eastAsia="Times New Roman"/>
          <w:sz w:val="28"/>
          <w:szCs w:val="28"/>
        </w:rPr>
        <w:t xml:space="preserve"> мероприятий Комплексного плана</w:t>
      </w:r>
      <w:bookmarkStart w:id="0" w:name="_GoBack"/>
      <w:bookmarkEnd w:id="0"/>
      <w:r w:rsidRPr="009D7280">
        <w:rPr>
          <w:rFonts w:eastAsia="Times New Roman"/>
          <w:sz w:val="28"/>
          <w:szCs w:val="28"/>
        </w:rPr>
        <w:t xml:space="preserve">. </w:t>
      </w:r>
    </w:p>
    <w:p w14:paraId="76B48E24" w14:textId="058EC9C8" w:rsidR="006D0595" w:rsidRPr="009D7280" w:rsidRDefault="0087665E" w:rsidP="006D0595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sz w:val="28"/>
          <w:szCs w:val="28"/>
        </w:rPr>
      </w:pPr>
      <w:r w:rsidRPr="009D7280">
        <w:rPr>
          <w:sz w:val="28"/>
          <w:szCs w:val="28"/>
        </w:rPr>
        <w:t xml:space="preserve">Кроме того, продолжается работа по </w:t>
      </w:r>
      <w:r w:rsidR="009249E1" w:rsidRPr="009D7280">
        <w:rPr>
          <w:sz w:val="28"/>
          <w:szCs w:val="28"/>
        </w:rPr>
        <w:t xml:space="preserve">категорированию и паспортизации </w:t>
      </w:r>
      <w:r w:rsidRPr="009D7280">
        <w:rPr>
          <w:sz w:val="28"/>
          <w:szCs w:val="28"/>
        </w:rPr>
        <w:t xml:space="preserve">мест массового пребывания людей и </w:t>
      </w:r>
      <w:r w:rsidR="00580F3F" w:rsidRPr="009D7280">
        <w:rPr>
          <w:sz w:val="28"/>
          <w:szCs w:val="28"/>
        </w:rPr>
        <w:t>торговых объектов, расположенных на территории ТиНАО</w:t>
      </w:r>
      <w:r w:rsidRPr="009D7280">
        <w:rPr>
          <w:sz w:val="28"/>
          <w:szCs w:val="28"/>
        </w:rPr>
        <w:t xml:space="preserve">. </w:t>
      </w:r>
      <w:r w:rsidR="006D0595" w:rsidRPr="009D7280">
        <w:rPr>
          <w:sz w:val="28"/>
          <w:szCs w:val="28"/>
        </w:rPr>
        <w:t xml:space="preserve">Решением </w:t>
      </w:r>
      <w:r w:rsidRPr="009D7280">
        <w:rPr>
          <w:sz w:val="28"/>
          <w:szCs w:val="28"/>
        </w:rPr>
        <w:t>Комисси</w:t>
      </w:r>
      <w:r w:rsidR="006D0595" w:rsidRPr="009D7280">
        <w:rPr>
          <w:sz w:val="28"/>
          <w:szCs w:val="28"/>
        </w:rPr>
        <w:t>и</w:t>
      </w:r>
      <w:r w:rsidRPr="009D7280">
        <w:rPr>
          <w:sz w:val="28"/>
          <w:szCs w:val="28"/>
        </w:rPr>
        <w:t xml:space="preserve"> утверждены актуализированные перечни вышеуказанных объектов.</w:t>
      </w:r>
    </w:p>
    <w:p w14:paraId="53A4FC9A" w14:textId="4B1D467C" w:rsidR="009249E1" w:rsidRPr="009D7280" w:rsidRDefault="009249E1" w:rsidP="006D0595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rFonts w:eastAsia="Times New Roman"/>
          <w:sz w:val="28"/>
          <w:szCs w:val="28"/>
        </w:rPr>
      </w:pPr>
      <w:r w:rsidRPr="009D7280">
        <w:rPr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9D7280">
        <w:rPr>
          <w:sz w:val="28"/>
          <w:szCs w:val="28"/>
        </w:rPr>
        <w:t>,</w:t>
      </w:r>
      <w:r w:rsidRPr="009D7280">
        <w:rPr>
          <w:sz w:val="28"/>
          <w:szCs w:val="28"/>
        </w:rPr>
        <w:t xml:space="preserve"> </w:t>
      </w:r>
      <w:r w:rsidR="00190A4A">
        <w:rPr>
          <w:sz w:val="28"/>
          <w:szCs w:val="28"/>
        </w:rPr>
        <w:t>которое направлено</w:t>
      </w:r>
      <w:r w:rsidRPr="009D7280">
        <w:rPr>
          <w:sz w:val="28"/>
          <w:szCs w:val="28"/>
        </w:rPr>
        <w:t xml:space="preserve"> членам Комиссии и заинтересованным структурам.</w:t>
      </w:r>
    </w:p>
    <w:p w14:paraId="7B7B8EFC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E296117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47E9FD3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8C62DC8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5D71A1C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81196D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15D37FF5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DE09E09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D1BBCC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C25DB5D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35D33B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994A38E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653566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62682C3" w14:textId="77777777" w:rsidR="00227EF2" w:rsidRDefault="00227EF2" w:rsidP="00227EF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7EF2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F6CC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68736631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4869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C1CA3B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3FFE8164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EB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12C0"/>
    <w:rsid w:val="000E61FC"/>
    <w:rsid w:val="001019FD"/>
    <w:rsid w:val="00126853"/>
    <w:rsid w:val="001421A7"/>
    <w:rsid w:val="001561B5"/>
    <w:rsid w:val="00174D41"/>
    <w:rsid w:val="00186B1A"/>
    <w:rsid w:val="00190A4A"/>
    <w:rsid w:val="00190D45"/>
    <w:rsid w:val="001922BE"/>
    <w:rsid w:val="001C242B"/>
    <w:rsid w:val="001C7386"/>
    <w:rsid w:val="001D17EA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9066C"/>
    <w:rsid w:val="003A4313"/>
    <w:rsid w:val="003A5AF0"/>
    <w:rsid w:val="004031F5"/>
    <w:rsid w:val="00433070"/>
    <w:rsid w:val="00434FBB"/>
    <w:rsid w:val="004408BB"/>
    <w:rsid w:val="004462B0"/>
    <w:rsid w:val="00475F3B"/>
    <w:rsid w:val="004800C2"/>
    <w:rsid w:val="00482096"/>
    <w:rsid w:val="004C171B"/>
    <w:rsid w:val="004D3E87"/>
    <w:rsid w:val="005174FA"/>
    <w:rsid w:val="00523CDC"/>
    <w:rsid w:val="0053657F"/>
    <w:rsid w:val="005456A2"/>
    <w:rsid w:val="00573871"/>
    <w:rsid w:val="00573B1D"/>
    <w:rsid w:val="00580F3F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5906"/>
    <w:rsid w:val="006A7FF5"/>
    <w:rsid w:val="006B5003"/>
    <w:rsid w:val="006B5D68"/>
    <w:rsid w:val="006B73DC"/>
    <w:rsid w:val="006C2D6D"/>
    <w:rsid w:val="006C3818"/>
    <w:rsid w:val="006D0595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62405"/>
    <w:rsid w:val="00767215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665E"/>
    <w:rsid w:val="008802D1"/>
    <w:rsid w:val="008834D8"/>
    <w:rsid w:val="00895FDB"/>
    <w:rsid w:val="008D0C10"/>
    <w:rsid w:val="008E6A5B"/>
    <w:rsid w:val="008F69E0"/>
    <w:rsid w:val="009018B0"/>
    <w:rsid w:val="00902512"/>
    <w:rsid w:val="00902D4B"/>
    <w:rsid w:val="00920602"/>
    <w:rsid w:val="009249E1"/>
    <w:rsid w:val="00951308"/>
    <w:rsid w:val="00967153"/>
    <w:rsid w:val="00974B9C"/>
    <w:rsid w:val="009751BF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340F5"/>
    <w:rsid w:val="00A3695D"/>
    <w:rsid w:val="00A57FF2"/>
    <w:rsid w:val="00A70A40"/>
    <w:rsid w:val="00A74161"/>
    <w:rsid w:val="00A81EB3"/>
    <w:rsid w:val="00A869CD"/>
    <w:rsid w:val="00A87B7D"/>
    <w:rsid w:val="00A94F76"/>
    <w:rsid w:val="00AA79FA"/>
    <w:rsid w:val="00AB45E7"/>
    <w:rsid w:val="00AB6549"/>
    <w:rsid w:val="00AD7D5F"/>
    <w:rsid w:val="00AE1162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21F04"/>
    <w:rsid w:val="00E229D3"/>
    <w:rsid w:val="00E32169"/>
    <w:rsid w:val="00E36DEB"/>
    <w:rsid w:val="00E61DFA"/>
    <w:rsid w:val="00E94192"/>
    <w:rsid w:val="00E94B3A"/>
    <w:rsid w:val="00E96FA9"/>
    <w:rsid w:val="00EA3323"/>
    <w:rsid w:val="00EA3C53"/>
    <w:rsid w:val="00EA4962"/>
    <w:rsid w:val="00EC547E"/>
    <w:rsid w:val="00EC5FCD"/>
    <w:rsid w:val="00EC65AA"/>
    <w:rsid w:val="00ED33E1"/>
    <w:rsid w:val="00ED77A7"/>
    <w:rsid w:val="00EE6D1B"/>
    <w:rsid w:val="00EF4456"/>
    <w:rsid w:val="00F008B5"/>
    <w:rsid w:val="00F05765"/>
    <w:rsid w:val="00F16FBF"/>
    <w:rsid w:val="00F26363"/>
    <w:rsid w:val="00F4443B"/>
    <w:rsid w:val="00F51A73"/>
    <w:rsid w:val="00F5710A"/>
    <w:rsid w:val="00F6090B"/>
    <w:rsid w:val="00F64BC0"/>
    <w:rsid w:val="00F7003C"/>
    <w:rsid w:val="00F7354F"/>
    <w:rsid w:val="00F819F0"/>
    <w:rsid w:val="00F83750"/>
    <w:rsid w:val="00F8609A"/>
    <w:rsid w:val="00FA2D44"/>
    <w:rsid w:val="00FA3EDF"/>
    <w:rsid w:val="00FB0820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CB6D-8CE3-40D1-A0F8-5DE03849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51</cp:revision>
  <cp:lastPrinted>2022-09-21T08:07:00Z</cp:lastPrinted>
  <dcterms:created xsi:type="dcterms:W3CDTF">2021-08-11T10:11:00Z</dcterms:created>
  <dcterms:modified xsi:type="dcterms:W3CDTF">2024-09-27T05:46:00Z</dcterms:modified>
</cp:coreProperties>
</file>